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BCC89" w14:textId="77777777" w:rsidR="004025FB" w:rsidRPr="00D66395" w:rsidRDefault="005B53A6">
      <w:pPr>
        <w:pBdr>
          <w:top w:val="single" w:sz="4" w:space="1" w:color="000000"/>
          <w:left w:val="nil"/>
          <w:bottom w:val="single" w:sz="4" w:space="1" w:color="000000"/>
          <w:right w:val="nil"/>
          <w:between w:val="nil"/>
        </w:pBdr>
        <w:shd w:val="clear" w:color="auto" w:fill="262626"/>
        <w:jc w:val="center"/>
        <w:rPr>
          <w:rFonts w:asciiTheme="minorHAnsi" w:eastAsia="Times New Roman" w:hAnsiTheme="minorHAnsi" w:cstheme="minorHAnsi"/>
          <w:b/>
          <w:smallCaps/>
          <w:color w:val="FFFFFF"/>
        </w:rPr>
      </w:pPr>
      <w:r w:rsidRPr="00D66395">
        <w:rPr>
          <w:rFonts w:asciiTheme="minorHAnsi" w:eastAsia="Times New Roman" w:hAnsiTheme="minorHAnsi" w:cstheme="minorHAnsi"/>
          <w:b/>
          <w:smallCaps/>
          <w:color w:val="FFFFFF"/>
        </w:rPr>
        <w:t>Instructions</w:t>
      </w:r>
    </w:p>
    <w:p w14:paraId="40127764" w14:textId="77777777" w:rsidR="004025FB" w:rsidRPr="00D66395" w:rsidRDefault="005B53A6">
      <w:pPr>
        <w:pBdr>
          <w:top w:val="nil"/>
          <w:left w:val="nil"/>
          <w:bottom w:val="single" w:sz="4" w:space="1" w:color="000000"/>
          <w:right w:val="nil"/>
          <w:between w:val="nil"/>
        </w:pBdr>
        <w:rPr>
          <w:rFonts w:asciiTheme="minorHAnsi" w:eastAsia="Times New Roman" w:hAnsiTheme="minorHAnsi" w:cstheme="minorHAnsi"/>
          <w:color w:val="000000"/>
          <w:sz w:val="22"/>
          <w:szCs w:val="22"/>
        </w:rPr>
      </w:pPr>
      <w:r w:rsidRPr="00D66395">
        <w:rPr>
          <w:rFonts w:asciiTheme="minorHAnsi" w:eastAsia="Times New Roman" w:hAnsiTheme="minorHAnsi" w:cstheme="minorHAnsi"/>
          <w:color w:val="000000"/>
          <w:sz w:val="22"/>
          <w:szCs w:val="22"/>
        </w:rPr>
        <w:t xml:space="preserve">Please supply requested information in the blue-shaded areas and indicate any attachments that have been included.  Where appropriate, supporting documentation may be referenced by specific page and/or paragraph number(s). </w:t>
      </w:r>
    </w:p>
    <w:p w14:paraId="1F7B0614" w14:textId="77777777" w:rsidR="004025FB" w:rsidRPr="00D66395" w:rsidRDefault="004025FB">
      <w:pPr>
        <w:pBdr>
          <w:top w:val="nil"/>
          <w:left w:val="nil"/>
          <w:bottom w:val="single" w:sz="4" w:space="1" w:color="000000"/>
          <w:right w:val="nil"/>
          <w:between w:val="nil"/>
        </w:pBdr>
        <w:rPr>
          <w:rFonts w:asciiTheme="minorHAnsi" w:eastAsia="Times New Roman" w:hAnsiTheme="minorHAnsi" w:cstheme="minorHAnsi"/>
          <w:color w:val="000000"/>
          <w:sz w:val="22"/>
          <w:szCs w:val="22"/>
        </w:rPr>
      </w:pPr>
    </w:p>
    <w:p w14:paraId="4DA5036F" w14:textId="77777777" w:rsidR="004025FB" w:rsidRPr="00D66395" w:rsidRDefault="005B53A6">
      <w:pPr>
        <w:pBdr>
          <w:top w:val="nil"/>
          <w:left w:val="nil"/>
          <w:bottom w:val="single" w:sz="4" w:space="1" w:color="000000"/>
          <w:right w:val="nil"/>
          <w:between w:val="nil"/>
        </w:pBdr>
        <w:rPr>
          <w:rFonts w:asciiTheme="minorHAnsi" w:eastAsia="Times New Roman" w:hAnsiTheme="minorHAnsi" w:cstheme="minorHAnsi"/>
          <w:b/>
          <w:color w:val="000000"/>
          <w:sz w:val="22"/>
          <w:szCs w:val="22"/>
        </w:rPr>
      </w:pPr>
      <w:r w:rsidRPr="00D66395">
        <w:rPr>
          <w:rFonts w:asciiTheme="minorHAnsi" w:eastAsia="Times New Roman" w:hAnsiTheme="minorHAnsi" w:cstheme="minorHAnsi"/>
          <w:b/>
          <w:color w:val="000000"/>
          <w:sz w:val="22"/>
          <w:szCs w:val="22"/>
        </w:rPr>
        <w:t>If any of this response contains confidential information, as defined by IC 5-14-3, provide a separate redacted (for public release) version of this document.  Specify which statutory exception of APRA applies and provide a description explaining the manner in which the statutory exception to the APRA applies.</w:t>
      </w:r>
    </w:p>
    <w:p w14:paraId="4E818ED1" w14:textId="77777777" w:rsidR="004025FB" w:rsidRDefault="004025FB">
      <w:pPr>
        <w:pBdr>
          <w:top w:val="nil"/>
          <w:left w:val="nil"/>
          <w:bottom w:val="nil"/>
          <w:right w:val="nil"/>
          <w:between w:val="nil"/>
        </w:pBdr>
        <w:rPr>
          <w:rFonts w:ascii="Times New Roman" w:eastAsia="Times New Roman" w:hAnsi="Times New Roman" w:cs="Times New Roman"/>
          <w:b/>
          <w:smallCaps/>
          <w:color w:val="000000"/>
        </w:rPr>
      </w:pPr>
    </w:p>
    <w:p w14:paraId="5B50CB6E" w14:textId="6167DD1B" w:rsidR="004025FB" w:rsidRPr="00D66395" w:rsidRDefault="005B53A6">
      <w:pPr>
        <w:pBdr>
          <w:top w:val="nil"/>
          <w:left w:val="nil"/>
          <w:bottom w:val="nil"/>
          <w:right w:val="nil"/>
          <w:between w:val="nil"/>
        </w:pBdr>
        <w:rPr>
          <w:rFonts w:asciiTheme="minorHAnsi" w:eastAsia="Times New Roman" w:hAnsiTheme="minorHAnsi" w:cstheme="minorHAnsi"/>
          <w:b/>
          <w:color w:val="000000"/>
        </w:rPr>
      </w:pPr>
      <w:r w:rsidRPr="00D66395">
        <w:rPr>
          <w:rFonts w:asciiTheme="minorHAnsi" w:eastAsia="Times New Roman" w:hAnsiTheme="minorHAnsi" w:cstheme="minorHAnsi"/>
          <w:b/>
          <w:smallCaps/>
          <w:color w:val="000000"/>
          <w:u w:val="single"/>
        </w:rPr>
        <w:t>Respondent Name</w:t>
      </w:r>
      <w:r w:rsidRPr="00D66395">
        <w:rPr>
          <w:rFonts w:asciiTheme="minorHAnsi" w:eastAsia="Times New Roman" w:hAnsiTheme="minorHAnsi" w:cstheme="minorHAnsi"/>
          <w:b/>
          <w:smallCaps/>
          <w:color w:val="000000"/>
        </w:rPr>
        <w:t xml:space="preserve">: </w:t>
      </w:r>
      <w:r w:rsidR="00CB29C2">
        <w:rPr>
          <w:b/>
          <w:bCs/>
        </w:rPr>
        <w:t>Milliman</w:t>
      </w:r>
      <w:r w:rsidR="007454D3">
        <w:rPr>
          <w:b/>
          <w:bCs/>
        </w:rPr>
        <w:t xml:space="preserve"> USA, Inc.</w:t>
      </w:r>
    </w:p>
    <w:p w14:paraId="45991D31" w14:textId="77777777" w:rsidR="004025FB" w:rsidRDefault="004025FB">
      <w:pPr>
        <w:pBdr>
          <w:top w:val="nil"/>
          <w:left w:val="nil"/>
          <w:bottom w:val="nil"/>
          <w:right w:val="nil"/>
          <w:between w:val="nil"/>
        </w:pBdr>
        <w:rPr>
          <w:rFonts w:ascii="Times New Roman" w:eastAsia="Times New Roman" w:hAnsi="Times New Roman" w:cs="Times New Roman"/>
          <w:b/>
          <w:i/>
          <w:smallCaps/>
          <w:color w:val="000000"/>
        </w:rPr>
      </w:pPr>
    </w:p>
    <w:p w14:paraId="424FF702" w14:textId="7C36A963" w:rsidR="005B53A6" w:rsidRDefault="005B53A6" w:rsidP="005B53A6">
      <w:pPr>
        <w:rPr>
          <w:rFonts w:asciiTheme="minorHAnsi" w:eastAsia="Times New Roman" w:hAnsiTheme="minorHAnsi" w:cstheme="minorHAnsi"/>
          <w:b/>
          <w:i/>
          <w:smallCaps/>
          <w:color w:val="FF0000"/>
          <w:sz w:val="22"/>
          <w:szCs w:val="22"/>
        </w:rPr>
      </w:pPr>
      <w:r w:rsidRPr="00D66395">
        <w:rPr>
          <w:rFonts w:asciiTheme="minorHAnsi" w:eastAsia="Times New Roman" w:hAnsiTheme="minorHAnsi" w:cstheme="minorHAnsi"/>
          <w:color w:val="000000"/>
          <w:sz w:val="22"/>
          <w:szCs w:val="22"/>
        </w:rPr>
        <w:t>The State requests response(s) to the below question(s) by</w:t>
      </w:r>
      <w:r w:rsidRPr="00D66395">
        <w:rPr>
          <w:rFonts w:asciiTheme="minorHAnsi" w:eastAsia="Times New Roman" w:hAnsiTheme="minorHAnsi" w:cstheme="minorHAnsi"/>
          <w:sz w:val="22"/>
          <w:szCs w:val="22"/>
        </w:rPr>
        <w:t xml:space="preserve"> </w:t>
      </w:r>
      <w:r w:rsidR="00C3571D">
        <w:rPr>
          <w:rFonts w:asciiTheme="minorHAnsi" w:eastAsia="Times New Roman" w:hAnsiTheme="minorHAnsi" w:cstheme="minorHAnsi"/>
          <w:b/>
          <w:color w:val="FF0000"/>
          <w:sz w:val="22"/>
          <w:szCs w:val="22"/>
        </w:rPr>
        <w:t>4</w:t>
      </w:r>
      <w:r>
        <w:rPr>
          <w:rFonts w:asciiTheme="minorHAnsi" w:eastAsia="Times New Roman" w:hAnsiTheme="minorHAnsi" w:cstheme="minorHAnsi"/>
          <w:b/>
          <w:color w:val="FF0000"/>
          <w:sz w:val="22"/>
          <w:szCs w:val="22"/>
        </w:rPr>
        <w:t xml:space="preserve">:00 PM Eastern Time on September </w:t>
      </w:r>
      <w:r w:rsidR="00CB29C2">
        <w:rPr>
          <w:rFonts w:asciiTheme="minorHAnsi" w:eastAsia="Times New Roman" w:hAnsiTheme="minorHAnsi" w:cstheme="minorHAnsi"/>
          <w:b/>
          <w:color w:val="FF0000"/>
          <w:sz w:val="22"/>
          <w:szCs w:val="22"/>
        </w:rPr>
        <w:t>27</w:t>
      </w:r>
      <w:r>
        <w:rPr>
          <w:rFonts w:asciiTheme="minorHAnsi" w:eastAsia="Times New Roman" w:hAnsiTheme="minorHAnsi" w:cstheme="minorHAnsi"/>
          <w:b/>
          <w:color w:val="FF0000"/>
          <w:sz w:val="22"/>
          <w:szCs w:val="22"/>
        </w:rPr>
        <w:t>, 2023</w:t>
      </w:r>
    </w:p>
    <w:p w14:paraId="1E01BFAA" w14:textId="10C3D3B5" w:rsidR="004025FB" w:rsidRPr="00D66395" w:rsidRDefault="004025FB">
      <w:pPr>
        <w:pBdr>
          <w:top w:val="nil"/>
          <w:left w:val="nil"/>
          <w:bottom w:val="nil"/>
          <w:right w:val="nil"/>
          <w:between w:val="nil"/>
        </w:pBdr>
        <w:rPr>
          <w:rFonts w:asciiTheme="minorHAnsi" w:eastAsia="Times New Roman" w:hAnsiTheme="minorHAnsi" w:cstheme="minorHAnsi"/>
          <w:b/>
          <w:sz w:val="22"/>
          <w:szCs w:val="22"/>
        </w:rPr>
      </w:pPr>
    </w:p>
    <w:p w14:paraId="194DDDFC" w14:textId="77777777" w:rsidR="00D66395" w:rsidRPr="00D66395" w:rsidRDefault="00D66395">
      <w:pPr>
        <w:pBdr>
          <w:top w:val="nil"/>
          <w:left w:val="nil"/>
          <w:bottom w:val="nil"/>
          <w:right w:val="nil"/>
          <w:between w:val="nil"/>
        </w:pBdr>
        <w:rPr>
          <w:rFonts w:asciiTheme="minorHAnsi" w:eastAsia="Times New Roman" w:hAnsiTheme="minorHAnsi" w:cstheme="minorHAnsi"/>
          <w:b/>
          <w:i/>
          <w:smallCaps/>
          <w:color w:val="000000"/>
        </w:rPr>
      </w:pPr>
    </w:p>
    <w:tbl>
      <w:tblPr>
        <w:tblStyle w:val="a2"/>
        <w:tblW w:w="143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5"/>
        <w:gridCol w:w="5580"/>
        <w:gridCol w:w="7095"/>
      </w:tblGrid>
      <w:tr w:rsidR="004025FB" w14:paraId="282AFE64" w14:textId="77777777">
        <w:trPr>
          <w:tblHeader/>
        </w:trPr>
        <w:tc>
          <w:tcPr>
            <w:tcW w:w="7245" w:type="dxa"/>
            <w:gridSpan w:val="2"/>
            <w:tcBorders>
              <w:top w:val="nil"/>
              <w:left w:val="nil"/>
              <w:bottom w:val="single" w:sz="4" w:space="0" w:color="000000"/>
              <w:right w:val="nil"/>
            </w:tcBorders>
            <w:shd w:val="clear" w:color="auto" w:fill="FFFFFF"/>
            <w:vAlign w:val="center"/>
          </w:tcPr>
          <w:p w14:paraId="44228E96" w14:textId="1C053DBF" w:rsidR="004025FB" w:rsidRPr="000A7B07" w:rsidRDefault="0085655D">
            <w:pPr>
              <w:pBdr>
                <w:top w:val="nil"/>
                <w:left w:val="nil"/>
                <w:bottom w:val="nil"/>
                <w:right w:val="nil"/>
                <w:between w:val="nil"/>
              </w:pBdr>
              <w:spacing w:line="259" w:lineRule="auto"/>
              <w:rPr>
                <w:rFonts w:asciiTheme="minorHAnsi" w:eastAsia="Times New Roman" w:hAnsiTheme="minorHAnsi" w:cstheme="minorHAnsi"/>
                <w:b/>
                <w:smallCaps/>
                <w:color w:val="000000"/>
              </w:rPr>
            </w:pPr>
            <w:r>
              <w:rPr>
                <w:rFonts w:asciiTheme="minorHAnsi" w:eastAsia="Times New Roman" w:hAnsiTheme="minorHAnsi" w:cstheme="minorHAnsi"/>
                <w:b/>
                <w:smallCaps/>
                <w:color w:val="000000"/>
              </w:rPr>
              <w:t>SAMPLE CONTRACT</w:t>
            </w:r>
            <w:r w:rsidR="00D66395" w:rsidRPr="000A7B07">
              <w:rPr>
                <w:rFonts w:asciiTheme="minorHAnsi" w:eastAsia="Times New Roman" w:hAnsiTheme="minorHAnsi" w:cstheme="minorHAnsi"/>
                <w:b/>
                <w:smallCaps/>
                <w:color w:val="000000"/>
              </w:rPr>
              <w:t xml:space="preserve"> – </w:t>
            </w:r>
            <w:r>
              <w:rPr>
                <w:rFonts w:asciiTheme="minorHAnsi" w:eastAsia="Times New Roman" w:hAnsiTheme="minorHAnsi" w:cstheme="minorHAnsi"/>
                <w:b/>
                <w:smallCaps/>
                <w:color w:val="000000"/>
              </w:rPr>
              <w:t>REDLINES</w:t>
            </w:r>
          </w:p>
        </w:tc>
        <w:tc>
          <w:tcPr>
            <w:tcW w:w="7095" w:type="dxa"/>
            <w:tcBorders>
              <w:top w:val="nil"/>
              <w:left w:val="nil"/>
              <w:bottom w:val="single" w:sz="4" w:space="0" w:color="000000"/>
              <w:right w:val="nil"/>
            </w:tcBorders>
            <w:shd w:val="clear" w:color="auto" w:fill="FFFFFF"/>
            <w:vAlign w:val="center"/>
          </w:tcPr>
          <w:p w14:paraId="7CC4E24F" w14:textId="77777777" w:rsidR="004025FB" w:rsidRDefault="004025FB">
            <w:pPr>
              <w:widowControl w:val="0"/>
              <w:pBdr>
                <w:top w:val="nil"/>
                <w:left w:val="nil"/>
                <w:bottom w:val="nil"/>
                <w:right w:val="nil"/>
                <w:between w:val="nil"/>
              </w:pBdr>
              <w:spacing w:line="276" w:lineRule="auto"/>
              <w:rPr>
                <w:rFonts w:ascii="Times New Roman" w:eastAsia="Times New Roman" w:hAnsi="Times New Roman" w:cs="Times New Roman"/>
                <w:b/>
                <w:smallCaps/>
                <w:color w:val="000000"/>
              </w:rPr>
            </w:pPr>
          </w:p>
        </w:tc>
      </w:tr>
      <w:tr w:rsidR="004025FB" w14:paraId="1713AAEA" w14:textId="77777777">
        <w:trPr>
          <w:tblHeader/>
        </w:trPr>
        <w:tc>
          <w:tcPr>
            <w:tcW w:w="1665" w:type="dxa"/>
            <w:tcBorders>
              <w:top w:val="single" w:sz="4" w:space="0" w:color="000000"/>
            </w:tcBorders>
            <w:shd w:val="clear" w:color="auto" w:fill="262626"/>
            <w:vAlign w:val="center"/>
          </w:tcPr>
          <w:p w14:paraId="146E0864" w14:textId="29CEF695" w:rsidR="00D66395" w:rsidRPr="00D66395" w:rsidRDefault="00D66395" w:rsidP="00D66395">
            <w:pPr>
              <w:pBdr>
                <w:top w:val="nil"/>
                <w:left w:val="nil"/>
                <w:bottom w:val="nil"/>
                <w:right w:val="nil"/>
                <w:between w:val="nil"/>
              </w:pBdr>
              <w:spacing w:line="259" w:lineRule="auto"/>
              <w:jc w:val="center"/>
              <w:rPr>
                <w:rFonts w:asciiTheme="minorHAnsi" w:eastAsia="Times New Roman" w:hAnsiTheme="minorHAnsi" w:cstheme="minorHAnsi"/>
                <w:b/>
                <w:smallCaps/>
                <w:color w:val="FFFFFF"/>
              </w:rPr>
            </w:pPr>
            <w:r>
              <w:rPr>
                <w:rFonts w:asciiTheme="minorHAnsi" w:eastAsia="Times New Roman" w:hAnsiTheme="minorHAnsi" w:cstheme="minorHAnsi"/>
                <w:b/>
                <w:smallCaps/>
                <w:color w:val="FFFFFF"/>
              </w:rPr>
              <w:t xml:space="preserve">Section </w:t>
            </w:r>
          </w:p>
        </w:tc>
        <w:tc>
          <w:tcPr>
            <w:tcW w:w="5580" w:type="dxa"/>
            <w:tcBorders>
              <w:top w:val="single" w:sz="4" w:space="0" w:color="000000"/>
            </w:tcBorders>
            <w:shd w:val="clear" w:color="auto" w:fill="262626"/>
            <w:vAlign w:val="center"/>
          </w:tcPr>
          <w:p w14:paraId="5C44916F" w14:textId="77777777" w:rsidR="004025FB" w:rsidRPr="00D66395" w:rsidRDefault="005B53A6">
            <w:pPr>
              <w:pBdr>
                <w:top w:val="nil"/>
                <w:left w:val="nil"/>
                <w:bottom w:val="nil"/>
                <w:right w:val="nil"/>
                <w:between w:val="nil"/>
              </w:pBdr>
              <w:spacing w:line="259" w:lineRule="auto"/>
              <w:jc w:val="center"/>
              <w:rPr>
                <w:rFonts w:asciiTheme="minorHAnsi" w:eastAsia="Times New Roman" w:hAnsiTheme="minorHAnsi" w:cstheme="minorHAnsi"/>
                <w:b/>
                <w:smallCaps/>
                <w:color w:val="FFFFFF"/>
              </w:rPr>
            </w:pPr>
            <w:r w:rsidRPr="00D66395">
              <w:rPr>
                <w:rFonts w:asciiTheme="minorHAnsi" w:eastAsia="Times New Roman" w:hAnsiTheme="minorHAnsi" w:cstheme="minorHAnsi"/>
                <w:b/>
                <w:smallCaps/>
                <w:color w:val="FFFFFF"/>
              </w:rPr>
              <w:t>Clarification Question</w:t>
            </w:r>
          </w:p>
        </w:tc>
        <w:tc>
          <w:tcPr>
            <w:tcW w:w="7095" w:type="dxa"/>
            <w:tcBorders>
              <w:top w:val="single" w:sz="4" w:space="0" w:color="000000"/>
            </w:tcBorders>
            <w:shd w:val="clear" w:color="auto" w:fill="262626"/>
            <w:vAlign w:val="center"/>
          </w:tcPr>
          <w:p w14:paraId="4D8C3680" w14:textId="77777777" w:rsidR="004025FB" w:rsidRPr="00D66395" w:rsidRDefault="005B53A6">
            <w:pPr>
              <w:pBdr>
                <w:top w:val="nil"/>
                <w:left w:val="nil"/>
                <w:bottom w:val="nil"/>
                <w:right w:val="nil"/>
                <w:between w:val="nil"/>
              </w:pBdr>
              <w:spacing w:line="259" w:lineRule="auto"/>
              <w:jc w:val="center"/>
              <w:rPr>
                <w:rFonts w:asciiTheme="minorHAnsi" w:eastAsia="Times New Roman" w:hAnsiTheme="minorHAnsi" w:cstheme="minorHAnsi"/>
                <w:b/>
                <w:smallCaps/>
                <w:color w:val="FFFFFF"/>
              </w:rPr>
            </w:pPr>
            <w:r w:rsidRPr="00D66395">
              <w:rPr>
                <w:rFonts w:asciiTheme="minorHAnsi" w:eastAsia="Times New Roman" w:hAnsiTheme="minorHAnsi" w:cstheme="minorHAnsi"/>
                <w:b/>
                <w:smallCaps/>
                <w:color w:val="FFFFFF"/>
              </w:rPr>
              <w:t>Respondent Response</w:t>
            </w:r>
          </w:p>
        </w:tc>
      </w:tr>
      <w:tr w:rsidR="004025FB" w14:paraId="11FF6E3D" w14:textId="77777777">
        <w:trPr>
          <w:trHeight w:val="1529"/>
        </w:trPr>
        <w:tc>
          <w:tcPr>
            <w:tcW w:w="1665" w:type="dxa"/>
            <w:vAlign w:val="center"/>
          </w:tcPr>
          <w:p w14:paraId="68908163" w14:textId="7591B84E" w:rsidR="004025FB" w:rsidRPr="00D66395" w:rsidRDefault="00802777">
            <w:pPr>
              <w:spacing w:line="259" w:lineRule="auto"/>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Sample Contract</w:t>
            </w:r>
          </w:p>
        </w:tc>
        <w:tc>
          <w:tcPr>
            <w:tcW w:w="5580" w:type="dxa"/>
            <w:vAlign w:val="center"/>
          </w:tcPr>
          <w:p w14:paraId="198C893E" w14:textId="78055AF0" w:rsidR="00EC5C6D" w:rsidRDefault="00F815BE" w:rsidP="00EC5C6D">
            <w:r>
              <w:rPr>
                <w:rFonts w:asciiTheme="minorHAnsi" w:eastAsia="Times New Roman" w:hAnsiTheme="minorHAnsi" w:cstheme="minorHAnsi"/>
                <w:sz w:val="22"/>
                <w:szCs w:val="22"/>
              </w:rPr>
              <w:t>State of Indiana procurement</w:t>
            </w:r>
            <w:r w:rsidR="00C10D3C">
              <w:rPr>
                <w:rFonts w:asciiTheme="minorHAnsi" w:eastAsia="Times New Roman" w:hAnsiTheme="minorHAnsi" w:cstheme="minorHAnsi"/>
                <w:sz w:val="22"/>
                <w:szCs w:val="22"/>
              </w:rPr>
              <w:t>s</w:t>
            </w:r>
            <w:r w:rsidR="00EC5C6D">
              <w:rPr>
                <w:rFonts w:asciiTheme="minorHAnsi" w:eastAsia="Times New Roman" w:hAnsiTheme="minorHAnsi" w:cstheme="minorHAnsi"/>
                <w:sz w:val="22"/>
                <w:szCs w:val="22"/>
              </w:rPr>
              <w:t xml:space="preserve"> </w:t>
            </w:r>
            <w:r w:rsidR="00EC5C6D">
              <w:t xml:space="preserve">typically include the following guidance on mandatory and substantively required contract terms. Can Milliman deliver services for this RFS without modifying any of the mandatory contract clauses below? </w:t>
            </w:r>
          </w:p>
          <w:p w14:paraId="3F79D67B" w14:textId="77777777" w:rsidR="00EC5C6D" w:rsidRDefault="00EC5C6D" w:rsidP="00EC5C6D"/>
          <w:p w14:paraId="4026070C" w14:textId="77777777" w:rsidR="00EC5C6D" w:rsidRDefault="00EC5C6D" w:rsidP="00EC5C6D">
            <w:pPr>
              <w:pStyle w:val="ListParagraph"/>
              <w:numPr>
                <w:ilvl w:val="0"/>
                <w:numId w:val="1"/>
              </w:numPr>
              <w:contextualSpacing w:val="0"/>
              <w:rPr>
                <w:rFonts w:eastAsia="Times New Roman"/>
              </w:rPr>
            </w:pPr>
            <w:r>
              <w:rPr>
                <w:rFonts w:eastAsia="Times New Roman"/>
              </w:rPr>
              <w:t>Authority to Bind Contractor</w:t>
            </w:r>
          </w:p>
          <w:p w14:paraId="0DE93373" w14:textId="77777777" w:rsidR="00EC5C6D" w:rsidRDefault="00EC5C6D" w:rsidP="00EC5C6D">
            <w:pPr>
              <w:pStyle w:val="ListParagraph"/>
              <w:numPr>
                <w:ilvl w:val="0"/>
                <w:numId w:val="1"/>
              </w:numPr>
              <w:contextualSpacing w:val="0"/>
              <w:rPr>
                <w:rFonts w:eastAsia="Times New Roman"/>
              </w:rPr>
            </w:pPr>
            <w:r>
              <w:rPr>
                <w:rFonts w:eastAsia="Times New Roman"/>
              </w:rPr>
              <w:t>Compliance with Laws</w:t>
            </w:r>
          </w:p>
          <w:p w14:paraId="46677F52" w14:textId="77777777" w:rsidR="00EC5C6D" w:rsidRDefault="00EC5C6D" w:rsidP="00EC5C6D">
            <w:pPr>
              <w:pStyle w:val="ListParagraph"/>
              <w:numPr>
                <w:ilvl w:val="0"/>
                <w:numId w:val="1"/>
              </w:numPr>
              <w:contextualSpacing w:val="0"/>
              <w:rPr>
                <w:rFonts w:eastAsia="Times New Roman"/>
              </w:rPr>
            </w:pPr>
            <w:r>
              <w:rPr>
                <w:rFonts w:eastAsia="Times New Roman"/>
              </w:rPr>
              <w:t>Drug-Free Workplace Certification</w:t>
            </w:r>
          </w:p>
          <w:p w14:paraId="0B8C3DA4" w14:textId="77777777" w:rsidR="00EC5C6D" w:rsidRDefault="00EC5C6D" w:rsidP="00EC5C6D">
            <w:pPr>
              <w:pStyle w:val="ListParagraph"/>
              <w:numPr>
                <w:ilvl w:val="0"/>
                <w:numId w:val="1"/>
              </w:numPr>
              <w:contextualSpacing w:val="0"/>
              <w:rPr>
                <w:rFonts w:eastAsia="Times New Roman"/>
              </w:rPr>
            </w:pPr>
            <w:r>
              <w:rPr>
                <w:rFonts w:eastAsia="Times New Roman"/>
              </w:rPr>
              <w:t>Employment Eligibility Verification (E-Verify)</w:t>
            </w:r>
          </w:p>
          <w:p w14:paraId="1E256FAE" w14:textId="77777777" w:rsidR="00EC5C6D" w:rsidRDefault="00EC5C6D" w:rsidP="00EC5C6D">
            <w:pPr>
              <w:pStyle w:val="ListParagraph"/>
              <w:numPr>
                <w:ilvl w:val="0"/>
                <w:numId w:val="1"/>
              </w:numPr>
              <w:contextualSpacing w:val="0"/>
              <w:rPr>
                <w:rFonts w:eastAsia="Times New Roman"/>
              </w:rPr>
            </w:pPr>
            <w:r>
              <w:rPr>
                <w:rFonts w:eastAsia="Times New Roman"/>
              </w:rPr>
              <w:t>Funding Cancellation</w:t>
            </w:r>
          </w:p>
          <w:p w14:paraId="1D3A3B68" w14:textId="77777777" w:rsidR="00EC5C6D" w:rsidRDefault="00EC5C6D" w:rsidP="00EC5C6D">
            <w:pPr>
              <w:pStyle w:val="ListParagraph"/>
              <w:numPr>
                <w:ilvl w:val="0"/>
                <w:numId w:val="1"/>
              </w:numPr>
              <w:contextualSpacing w:val="0"/>
              <w:rPr>
                <w:rFonts w:eastAsia="Times New Roman"/>
              </w:rPr>
            </w:pPr>
            <w:r>
              <w:rPr>
                <w:rFonts w:eastAsia="Times New Roman"/>
              </w:rPr>
              <w:t>Governing Law</w:t>
            </w:r>
          </w:p>
          <w:p w14:paraId="5E05CC69" w14:textId="77777777" w:rsidR="00EC5C6D" w:rsidRDefault="00EC5C6D" w:rsidP="00EC5C6D">
            <w:pPr>
              <w:pStyle w:val="ListParagraph"/>
              <w:numPr>
                <w:ilvl w:val="0"/>
                <w:numId w:val="1"/>
              </w:numPr>
              <w:contextualSpacing w:val="0"/>
              <w:rPr>
                <w:rFonts w:eastAsia="Times New Roman"/>
              </w:rPr>
            </w:pPr>
            <w:r>
              <w:rPr>
                <w:rFonts w:eastAsia="Times New Roman"/>
              </w:rPr>
              <w:t>Indemnification</w:t>
            </w:r>
          </w:p>
          <w:p w14:paraId="1F7FCADD" w14:textId="77777777" w:rsidR="00EC5C6D" w:rsidRDefault="00EC5C6D" w:rsidP="00EC5C6D">
            <w:pPr>
              <w:pStyle w:val="ListParagraph"/>
              <w:numPr>
                <w:ilvl w:val="0"/>
                <w:numId w:val="1"/>
              </w:numPr>
              <w:contextualSpacing w:val="0"/>
              <w:rPr>
                <w:rFonts w:eastAsia="Times New Roman"/>
              </w:rPr>
            </w:pPr>
            <w:r>
              <w:rPr>
                <w:rFonts w:eastAsia="Times New Roman"/>
              </w:rPr>
              <w:t>Information Technology Enterprise Architecture Requirements</w:t>
            </w:r>
          </w:p>
          <w:p w14:paraId="04963749" w14:textId="77777777" w:rsidR="00EC5C6D" w:rsidRDefault="00EC5C6D" w:rsidP="00EC5C6D">
            <w:pPr>
              <w:pStyle w:val="ListParagraph"/>
              <w:numPr>
                <w:ilvl w:val="0"/>
                <w:numId w:val="1"/>
              </w:numPr>
              <w:contextualSpacing w:val="0"/>
              <w:rPr>
                <w:rFonts w:eastAsia="Times New Roman"/>
              </w:rPr>
            </w:pPr>
            <w:r>
              <w:rPr>
                <w:rFonts w:eastAsia="Times New Roman"/>
              </w:rPr>
              <w:t>Nondiscrimination Clause</w:t>
            </w:r>
          </w:p>
          <w:p w14:paraId="11D3AB70" w14:textId="77777777" w:rsidR="00EC5C6D" w:rsidRDefault="00EC5C6D" w:rsidP="00EC5C6D">
            <w:pPr>
              <w:pStyle w:val="ListParagraph"/>
              <w:numPr>
                <w:ilvl w:val="0"/>
                <w:numId w:val="1"/>
              </w:numPr>
              <w:contextualSpacing w:val="0"/>
              <w:rPr>
                <w:rFonts w:eastAsia="Times New Roman"/>
              </w:rPr>
            </w:pPr>
            <w:r>
              <w:rPr>
                <w:rFonts w:eastAsia="Times New Roman"/>
              </w:rPr>
              <w:t>Penalties/Interest/Attorney’s Fees</w:t>
            </w:r>
          </w:p>
          <w:p w14:paraId="006498D8" w14:textId="77777777" w:rsidR="00EC5C6D" w:rsidRDefault="00EC5C6D" w:rsidP="00EC5C6D">
            <w:pPr>
              <w:pStyle w:val="ListParagraph"/>
              <w:numPr>
                <w:ilvl w:val="0"/>
                <w:numId w:val="1"/>
              </w:numPr>
              <w:contextualSpacing w:val="0"/>
              <w:rPr>
                <w:rFonts w:eastAsia="Times New Roman"/>
              </w:rPr>
            </w:pPr>
            <w:r>
              <w:rPr>
                <w:rFonts w:eastAsia="Times New Roman"/>
              </w:rPr>
              <w:t>Termination for Convenience</w:t>
            </w:r>
          </w:p>
          <w:p w14:paraId="2E484FF1" w14:textId="77777777" w:rsidR="00EC5C6D" w:rsidRDefault="00EC5C6D" w:rsidP="00EC5C6D">
            <w:pPr>
              <w:pStyle w:val="ListParagraph"/>
              <w:numPr>
                <w:ilvl w:val="0"/>
                <w:numId w:val="1"/>
              </w:numPr>
              <w:contextualSpacing w:val="0"/>
              <w:rPr>
                <w:rFonts w:eastAsia="Times New Roman"/>
              </w:rPr>
            </w:pPr>
            <w:r>
              <w:rPr>
                <w:rFonts w:eastAsia="Times New Roman"/>
              </w:rPr>
              <w:lastRenderedPageBreak/>
              <w:t>Non-Collusion and Acceptance</w:t>
            </w:r>
          </w:p>
          <w:p w14:paraId="272F903E" w14:textId="77777777" w:rsidR="00EC5C6D" w:rsidRDefault="00EC5C6D" w:rsidP="00EC5C6D">
            <w:pPr>
              <w:pStyle w:val="ListParagraph"/>
              <w:rPr>
                <w:rFonts w:eastAsiaTheme="minorHAnsi"/>
              </w:rPr>
            </w:pPr>
          </w:p>
          <w:p w14:paraId="66BD6B85" w14:textId="77777777" w:rsidR="00EC5C6D" w:rsidRDefault="00EC5C6D" w:rsidP="00EC5C6D">
            <w:r>
              <w:t>Additionally, please note the substantively required terms are as follows:</w:t>
            </w:r>
          </w:p>
          <w:p w14:paraId="0BD2B4B9" w14:textId="77777777" w:rsidR="00EC5C6D" w:rsidRDefault="00EC5C6D" w:rsidP="00EC5C6D"/>
          <w:p w14:paraId="2D6BC3CC" w14:textId="77777777" w:rsidR="00EC5C6D" w:rsidRDefault="00EC5C6D" w:rsidP="00EC5C6D">
            <w:pPr>
              <w:pStyle w:val="ListParagraph"/>
              <w:numPr>
                <w:ilvl w:val="0"/>
                <w:numId w:val="2"/>
              </w:numPr>
              <w:contextualSpacing w:val="0"/>
              <w:rPr>
                <w:rFonts w:eastAsia="Times New Roman"/>
              </w:rPr>
            </w:pPr>
            <w:r>
              <w:rPr>
                <w:rFonts w:eastAsia="Times New Roman"/>
              </w:rPr>
              <w:t>Duties of Contractor, Consideration, and Term of Contract</w:t>
            </w:r>
          </w:p>
          <w:p w14:paraId="1A43317E" w14:textId="77777777" w:rsidR="00EC5C6D" w:rsidRDefault="00EC5C6D" w:rsidP="00EC5C6D">
            <w:pPr>
              <w:pStyle w:val="ListParagraph"/>
              <w:numPr>
                <w:ilvl w:val="0"/>
                <w:numId w:val="2"/>
              </w:numPr>
              <w:contextualSpacing w:val="0"/>
              <w:rPr>
                <w:rFonts w:eastAsia="Times New Roman"/>
              </w:rPr>
            </w:pPr>
            <w:r>
              <w:rPr>
                <w:rFonts w:eastAsia="Times New Roman"/>
              </w:rPr>
              <w:t>Ownership of Documents and Materials</w:t>
            </w:r>
          </w:p>
          <w:p w14:paraId="1ECE7416" w14:textId="77777777" w:rsidR="00EC5C6D" w:rsidRDefault="00EC5C6D" w:rsidP="00EC5C6D">
            <w:pPr>
              <w:pStyle w:val="ListParagraph"/>
              <w:numPr>
                <w:ilvl w:val="0"/>
                <w:numId w:val="2"/>
              </w:numPr>
              <w:contextualSpacing w:val="0"/>
              <w:rPr>
                <w:rFonts w:eastAsia="Times New Roman"/>
              </w:rPr>
            </w:pPr>
            <w:r>
              <w:rPr>
                <w:rFonts w:eastAsia="Times New Roman"/>
              </w:rPr>
              <w:t>Payments</w:t>
            </w:r>
          </w:p>
          <w:p w14:paraId="0AC09D84" w14:textId="71482424" w:rsidR="004025FB" w:rsidRPr="00D66395" w:rsidRDefault="004025FB">
            <w:pPr>
              <w:spacing w:line="259" w:lineRule="auto"/>
              <w:rPr>
                <w:rFonts w:asciiTheme="minorHAnsi" w:eastAsia="Times New Roman" w:hAnsiTheme="minorHAnsi" w:cstheme="minorHAnsi"/>
                <w:sz w:val="22"/>
                <w:szCs w:val="22"/>
              </w:rPr>
            </w:pPr>
          </w:p>
        </w:tc>
        <w:tc>
          <w:tcPr>
            <w:tcW w:w="7095" w:type="dxa"/>
            <w:shd w:val="clear" w:color="auto" w:fill="C9DAF8"/>
            <w:vAlign w:val="center"/>
          </w:tcPr>
          <w:p w14:paraId="48DFEBAE" w14:textId="753D3CA3" w:rsidR="000E42CD" w:rsidRPr="000E42CD" w:rsidRDefault="000E42CD" w:rsidP="000E42CD">
            <w:pPr>
              <w:pBdr>
                <w:top w:val="nil"/>
                <w:left w:val="nil"/>
                <w:bottom w:val="nil"/>
                <w:right w:val="nil"/>
                <w:between w:val="nil"/>
              </w:pBdr>
              <w:rPr>
                <w:rFonts w:ascii="Times New Roman" w:eastAsia="Times New Roman" w:hAnsi="Times New Roman" w:cs="Times New Roman"/>
                <w:color w:val="000000"/>
              </w:rPr>
            </w:pPr>
            <w:r w:rsidRPr="000E42CD">
              <w:rPr>
                <w:rFonts w:ascii="Times New Roman" w:eastAsia="Times New Roman" w:hAnsi="Times New Roman" w:cs="Times New Roman"/>
                <w:color w:val="000000"/>
              </w:rPr>
              <w:lastRenderedPageBreak/>
              <w:t>Milliman can accept all of the mandatory and substantive</w:t>
            </w:r>
            <w:r w:rsidR="003324DA">
              <w:rPr>
                <w:rFonts w:ascii="Times New Roman" w:eastAsia="Times New Roman" w:hAnsi="Times New Roman" w:cs="Times New Roman"/>
                <w:color w:val="000000"/>
              </w:rPr>
              <w:t>ly required</w:t>
            </w:r>
            <w:r w:rsidRPr="000E42CD">
              <w:rPr>
                <w:rFonts w:ascii="Times New Roman" w:eastAsia="Times New Roman" w:hAnsi="Times New Roman" w:cs="Times New Roman"/>
                <w:color w:val="000000"/>
              </w:rPr>
              <w:t xml:space="preserve"> contract clauses without modification except for the following item:</w:t>
            </w:r>
          </w:p>
          <w:p w14:paraId="51615304" w14:textId="77777777" w:rsidR="000E42CD" w:rsidRPr="000E42CD" w:rsidRDefault="000E42CD" w:rsidP="000E42CD">
            <w:pPr>
              <w:pBdr>
                <w:top w:val="nil"/>
                <w:left w:val="nil"/>
                <w:bottom w:val="nil"/>
                <w:right w:val="nil"/>
                <w:between w:val="nil"/>
              </w:pBdr>
              <w:rPr>
                <w:rFonts w:ascii="Times New Roman" w:eastAsia="Times New Roman" w:hAnsi="Times New Roman" w:cs="Times New Roman"/>
                <w:color w:val="000000"/>
              </w:rPr>
            </w:pPr>
          </w:p>
          <w:p w14:paraId="1DBAB45F" w14:textId="77777777" w:rsidR="000E42CD" w:rsidRPr="000E42CD" w:rsidRDefault="000E42CD" w:rsidP="000E42CD">
            <w:pPr>
              <w:pBdr>
                <w:top w:val="nil"/>
                <w:left w:val="nil"/>
                <w:bottom w:val="nil"/>
                <w:right w:val="nil"/>
                <w:between w:val="nil"/>
              </w:pBdr>
              <w:rPr>
                <w:rFonts w:ascii="Times New Roman" w:eastAsia="Times New Roman" w:hAnsi="Times New Roman" w:cs="Times New Roman"/>
                <w:color w:val="000000"/>
              </w:rPr>
            </w:pPr>
            <w:r w:rsidRPr="000E42CD">
              <w:rPr>
                <w:rFonts w:ascii="Times New Roman" w:eastAsia="Times New Roman" w:hAnsi="Times New Roman" w:cs="Times New Roman"/>
                <w:color w:val="000000"/>
              </w:rPr>
              <w:t>Indemnification</w:t>
            </w:r>
          </w:p>
          <w:p w14:paraId="1EA653EA" w14:textId="77777777" w:rsidR="000E42CD" w:rsidRPr="000E42CD" w:rsidRDefault="000E42CD" w:rsidP="000E42CD">
            <w:pPr>
              <w:pBdr>
                <w:top w:val="nil"/>
                <w:left w:val="nil"/>
                <w:bottom w:val="nil"/>
                <w:right w:val="nil"/>
                <w:between w:val="nil"/>
              </w:pBdr>
              <w:rPr>
                <w:rFonts w:ascii="Times New Roman" w:eastAsia="Times New Roman" w:hAnsi="Times New Roman" w:cs="Times New Roman"/>
                <w:color w:val="000000"/>
              </w:rPr>
            </w:pPr>
            <w:r w:rsidRPr="000E42CD">
              <w:rPr>
                <w:rFonts w:ascii="Times New Roman" w:eastAsia="Times New Roman" w:hAnsi="Times New Roman" w:cs="Times New Roman"/>
                <w:color w:val="000000"/>
              </w:rPr>
              <w:t>Milliman can accept the language as-is with two modifications:</w:t>
            </w:r>
          </w:p>
          <w:p w14:paraId="6DEE02B5" w14:textId="77777777" w:rsidR="000E42CD" w:rsidRPr="000E42CD" w:rsidRDefault="000E42CD" w:rsidP="000E42CD">
            <w:pPr>
              <w:pBdr>
                <w:top w:val="nil"/>
                <w:left w:val="nil"/>
                <w:bottom w:val="nil"/>
                <w:right w:val="nil"/>
                <w:between w:val="nil"/>
              </w:pBdr>
              <w:rPr>
                <w:rFonts w:ascii="Times New Roman" w:eastAsia="Times New Roman" w:hAnsi="Times New Roman" w:cs="Times New Roman"/>
                <w:color w:val="000000"/>
              </w:rPr>
            </w:pPr>
            <w:r w:rsidRPr="000E42CD">
              <w:rPr>
                <w:rFonts w:ascii="Times New Roman" w:eastAsia="Times New Roman" w:hAnsi="Times New Roman" w:cs="Times New Roman"/>
                <w:color w:val="000000"/>
              </w:rPr>
              <w:t>1) Milliman can only agree to indemnify for direct claims.</w:t>
            </w:r>
          </w:p>
          <w:p w14:paraId="5EEADDA0" w14:textId="77777777" w:rsidR="000E42CD" w:rsidRPr="000E42CD" w:rsidRDefault="000E42CD" w:rsidP="000E42CD">
            <w:pPr>
              <w:pBdr>
                <w:top w:val="nil"/>
                <w:left w:val="nil"/>
                <w:bottom w:val="nil"/>
                <w:right w:val="nil"/>
                <w:between w:val="nil"/>
              </w:pBdr>
              <w:rPr>
                <w:rFonts w:ascii="Times New Roman" w:eastAsia="Times New Roman" w:hAnsi="Times New Roman" w:cs="Times New Roman"/>
                <w:color w:val="000000"/>
              </w:rPr>
            </w:pPr>
            <w:r w:rsidRPr="000E42CD">
              <w:rPr>
                <w:rFonts w:ascii="Times New Roman" w:eastAsia="Times New Roman" w:hAnsi="Times New Roman" w:cs="Times New Roman"/>
                <w:color w:val="000000"/>
              </w:rPr>
              <w:t>2) Milliman can only agree to indemnity to the extent of Milliman’s grossly negligent, intentionally wrongful, or fraudulent acts or omissions.</w:t>
            </w:r>
          </w:p>
          <w:p w14:paraId="73453756" w14:textId="77777777" w:rsidR="000E42CD" w:rsidRPr="000E42CD" w:rsidRDefault="000E42CD" w:rsidP="000E42CD">
            <w:pPr>
              <w:pBdr>
                <w:top w:val="nil"/>
                <w:left w:val="nil"/>
                <w:bottom w:val="nil"/>
                <w:right w:val="nil"/>
                <w:between w:val="nil"/>
              </w:pBdr>
              <w:rPr>
                <w:rFonts w:ascii="Times New Roman" w:eastAsia="Times New Roman" w:hAnsi="Times New Roman" w:cs="Times New Roman"/>
                <w:color w:val="000000"/>
              </w:rPr>
            </w:pPr>
          </w:p>
          <w:p w14:paraId="4168D3E1" w14:textId="77777777" w:rsidR="000E42CD" w:rsidRPr="000E42CD" w:rsidRDefault="000E42CD" w:rsidP="000E42CD">
            <w:pPr>
              <w:pBdr>
                <w:top w:val="nil"/>
                <w:left w:val="nil"/>
                <w:bottom w:val="nil"/>
                <w:right w:val="nil"/>
                <w:between w:val="nil"/>
              </w:pBdr>
              <w:rPr>
                <w:rFonts w:ascii="Times New Roman" w:eastAsia="Times New Roman" w:hAnsi="Times New Roman" w:cs="Times New Roman"/>
                <w:color w:val="000000"/>
              </w:rPr>
            </w:pPr>
            <w:r w:rsidRPr="000E42CD">
              <w:rPr>
                <w:rFonts w:ascii="Times New Roman" w:eastAsia="Times New Roman" w:hAnsi="Times New Roman" w:cs="Times New Roman"/>
                <w:color w:val="000000"/>
              </w:rPr>
              <w:t>Also, to note, Milliman included a “Limitation of Liability” provision with the Indemnification section. This can be added as a new stand-alone section or combined with the Indemnification section or another appropriate location.</w:t>
            </w:r>
          </w:p>
          <w:p w14:paraId="1A678FAC" w14:textId="77777777" w:rsidR="004025FB" w:rsidRDefault="004025FB">
            <w:pPr>
              <w:pBdr>
                <w:top w:val="nil"/>
                <w:left w:val="nil"/>
                <w:bottom w:val="nil"/>
                <w:right w:val="nil"/>
                <w:between w:val="nil"/>
              </w:pBdr>
              <w:spacing w:line="259" w:lineRule="auto"/>
              <w:rPr>
                <w:rFonts w:ascii="Times New Roman" w:eastAsia="Times New Roman" w:hAnsi="Times New Roman" w:cs="Times New Roman"/>
                <w:color w:val="000000"/>
              </w:rPr>
            </w:pPr>
          </w:p>
        </w:tc>
      </w:tr>
    </w:tbl>
    <w:p w14:paraId="15FC48D9" w14:textId="77777777" w:rsidR="004025FB" w:rsidRDefault="004025FB">
      <w:pPr>
        <w:pBdr>
          <w:top w:val="nil"/>
          <w:left w:val="nil"/>
          <w:bottom w:val="nil"/>
          <w:right w:val="nil"/>
          <w:between w:val="nil"/>
        </w:pBdr>
        <w:rPr>
          <w:rFonts w:ascii="Times New Roman" w:eastAsia="Times New Roman" w:hAnsi="Times New Roman" w:cs="Times New Roman"/>
          <w:b/>
          <w:smallCaps/>
          <w:color w:val="000000"/>
        </w:rPr>
      </w:pPr>
    </w:p>
    <w:tbl>
      <w:tblPr>
        <w:tblStyle w:val="a2"/>
        <w:tblW w:w="143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5"/>
        <w:gridCol w:w="5580"/>
        <w:gridCol w:w="7095"/>
      </w:tblGrid>
      <w:tr w:rsidR="00991D13" w14:paraId="54994C3A" w14:textId="77777777" w:rsidTr="007A65A5">
        <w:trPr>
          <w:tblHeader/>
        </w:trPr>
        <w:tc>
          <w:tcPr>
            <w:tcW w:w="7245" w:type="dxa"/>
            <w:gridSpan w:val="2"/>
            <w:tcBorders>
              <w:top w:val="nil"/>
              <w:left w:val="nil"/>
              <w:bottom w:val="single" w:sz="4" w:space="0" w:color="000000"/>
              <w:right w:val="nil"/>
            </w:tcBorders>
            <w:shd w:val="clear" w:color="auto" w:fill="FFFFFF"/>
            <w:vAlign w:val="center"/>
          </w:tcPr>
          <w:p w14:paraId="09A47163" w14:textId="0B22CF6A" w:rsidR="00991D13" w:rsidRPr="000A7B07" w:rsidRDefault="00991D13" w:rsidP="007A65A5">
            <w:pPr>
              <w:pBdr>
                <w:top w:val="nil"/>
                <w:left w:val="nil"/>
                <w:bottom w:val="nil"/>
                <w:right w:val="nil"/>
                <w:between w:val="nil"/>
              </w:pBdr>
              <w:spacing w:line="259" w:lineRule="auto"/>
              <w:rPr>
                <w:rFonts w:asciiTheme="minorHAnsi" w:eastAsia="Times New Roman" w:hAnsiTheme="minorHAnsi" w:cstheme="minorHAnsi"/>
                <w:b/>
                <w:smallCaps/>
                <w:color w:val="000000"/>
              </w:rPr>
            </w:pPr>
            <w:r w:rsidRPr="000A7B07">
              <w:rPr>
                <w:rFonts w:asciiTheme="minorHAnsi" w:eastAsia="Times New Roman" w:hAnsiTheme="minorHAnsi" w:cstheme="minorHAnsi"/>
                <w:b/>
                <w:smallCaps/>
                <w:color w:val="000000"/>
              </w:rPr>
              <w:t>A</w:t>
            </w:r>
            <w:r w:rsidR="0085655D">
              <w:rPr>
                <w:rFonts w:asciiTheme="minorHAnsi" w:eastAsia="Times New Roman" w:hAnsiTheme="minorHAnsi" w:cstheme="minorHAnsi"/>
                <w:b/>
                <w:smallCaps/>
                <w:color w:val="000000"/>
              </w:rPr>
              <w:t>TTACHMENT C – TECHNICAL PROPOSAL</w:t>
            </w:r>
          </w:p>
        </w:tc>
        <w:tc>
          <w:tcPr>
            <w:tcW w:w="7095" w:type="dxa"/>
            <w:tcBorders>
              <w:top w:val="nil"/>
              <w:left w:val="nil"/>
              <w:bottom w:val="single" w:sz="4" w:space="0" w:color="000000"/>
              <w:right w:val="nil"/>
            </w:tcBorders>
            <w:shd w:val="clear" w:color="auto" w:fill="FFFFFF"/>
            <w:vAlign w:val="center"/>
          </w:tcPr>
          <w:p w14:paraId="049EA129" w14:textId="77777777" w:rsidR="00991D13" w:rsidRDefault="00991D13" w:rsidP="007A65A5">
            <w:pPr>
              <w:widowControl w:val="0"/>
              <w:pBdr>
                <w:top w:val="nil"/>
                <w:left w:val="nil"/>
                <w:bottom w:val="nil"/>
                <w:right w:val="nil"/>
                <w:between w:val="nil"/>
              </w:pBdr>
              <w:spacing w:line="276" w:lineRule="auto"/>
              <w:rPr>
                <w:rFonts w:ascii="Times New Roman" w:eastAsia="Times New Roman" w:hAnsi="Times New Roman" w:cs="Times New Roman"/>
                <w:b/>
                <w:smallCaps/>
                <w:color w:val="000000"/>
              </w:rPr>
            </w:pPr>
          </w:p>
        </w:tc>
      </w:tr>
      <w:tr w:rsidR="00991D13" w14:paraId="7D959763" w14:textId="77777777" w:rsidTr="007A65A5">
        <w:trPr>
          <w:tblHeader/>
        </w:trPr>
        <w:tc>
          <w:tcPr>
            <w:tcW w:w="1665" w:type="dxa"/>
            <w:tcBorders>
              <w:top w:val="single" w:sz="4" w:space="0" w:color="000000"/>
            </w:tcBorders>
            <w:shd w:val="clear" w:color="auto" w:fill="262626"/>
            <w:vAlign w:val="center"/>
          </w:tcPr>
          <w:p w14:paraId="180E3EF7" w14:textId="77777777" w:rsidR="00991D13" w:rsidRPr="00D66395" w:rsidRDefault="00991D13" w:rsidP="007A65A5">
            <w:pPr>
              <w:pBdr>
                <w:top w:val="nil"/>
                <w:left w:val="nil"/>
                <w:bottom w:val="nil"/>
                <w:right w:val="nil"/>
                <w:between w:val="nil"/>
              </w:pBdr>
              <w:spacing w:line="259" w:lineRule="auto"/>
              <w:jc w:val="center"/>
              <w:rPr>
                <w:rFonts w:asciiTheme="minorHAnsi" w:eastAsia="Times New Roman" w:hAnsiTheme="minorHAnsi" w:cstheme="minorHAnsi"/>
                <w:b/>
                <w:smallCaps/>
                <w:color w:val="FFFFFF"/>
              </w:rPr>
            </w:pPr>
            <w:r>
              <w:rPr>
                <w:rFonts w:asciiTheme="minorHAnsi" w:eastAsia="Times New Roman" w:hAnsiTheme="minorHAnsi" w:cstheme="minorHAnsi"/>
                <w:b/>
                <w:smallCaps/>
                <w:color w:val="FFFFFF"/>
              </w:rPr>
              <w:t xml:space="preserve">Section </w:t>
            </w:r>
          </w:p>
        </w:tc>
        <w:tc>
          <w:tcPr>
            <w:tcW w:w="5580" w:type="dxa"/>
            <w:tcBorders>
              <w:top w:val="single" w:sz="4" w:space="0" w:color="000000"/>
            </w:tcBorders>
            <w:shd w:val="clear" w:color="auto" w:fill="262626"/>
            <w:vAlign w:val="center"/>
          </w:tcPr>
          <w:p w14:paraId="759240CD" w14:textId="77777777" w:rsidR="00991D13" w:rsidRPr="00D66395" w:rsidRDefault="00991D13" w:rsidP="007A65A5">
            <w:pPr>
              <w:pBdr>
                <w:top w:val="nil"/>
                <w:left w:val="nil"/>
                <w:bottom w:val="nil"/>
                <w:right w:val="nil"/>
                <w:between w:val="nil"/>
              </w:pBdr>
              <w:spacing w:line="259" w:lineRule="auto"/>
              <w:jc w:val="center"/>
              <w:rPr>
                <w:rFonts w:asciiTheme="minorHAnsi" w:eastAsia="Times New Roman" w:hAnsiTheme="minorHAnsi" w:cstheme="minorHAnsi"/>
                <w:b/>
                <w:smallCaps/>
                <w:color w:val="FFFFFF"/>
              </w:rPr>
            </w:pPr>
            <w:r w:rsidRPr="00D66395">
              <w:rPr>
                <w:rFonts w:asciiTheme="minorHAnsi" w:eastAsia="Times New Roman" w:hAnsiTheme="minorHAnsi" w:cstheme="minorHAnsi"/>
                <w:b/>
                <w:smallCaps/>
                <w:color w:val="FFFFFF"/>
              </w:rPr>
              <w:t>Clarification Question</w:t>
            </w:r>
          </w:p>
        </w:tc>
        <w:tc>
          <w:tcPr>
            <w:tcW w:w="7095" w:type="dxa"/>
            <w:tcBorders>
              <w:top w:val="single" w:sz="4" w:space="0" w:color="000000"/>
            </w:tcBorders>
            <w:shd w:val="clear" w:color="auto" w:fill="262626"/>
            <w:vAlign w:val="center"/>
          </w:tcPr>
          <w:p w14:paraId="06CCE5B9" w14:textId="77777777" w:rsidR="00991D13" w:rsidRPr="00D66395" w:rsidRDefault="00991D13" w:rsidP="007A65A5">
            <w:pPr>
              <w:pBdr>
                <w:top w:val="nil"/>
                <w:left w:val="nil"/>
                <w:bottom w:val="nil"/>
                <w:right w:val="nil"/>
                <w:between w:val="nil"/>
              </w:pBdr>
              <w:spacing w:line="259" w:lineRule="auto"/>
              <w:jc w:val="center"/>
              <w:rPr>
                <w:rFonts w:asciiTheme="minorHAnsi" w:eastAsia="Times New Roman" w:hAnsiTheme="minorHAnsi" w:cstheme="minorHAnsi"/>
                <w:b/>
                <w:smallCaps/>
                <w:color w:val="FFFFFF"/>
              </w:rPr>
            </w:pPr>
            <w:r w:rsidRPr="00D66395">
              <w:rPr>
                <w:rFonts w:asciiTheme="minorHAnsi" w:eastAsia="Times New Roman" w:hAnsiTheme="minorHAnsi" w:cstheme="minorHAnsi"/>
                <w:b/>
                <w:smallCaps/>
                <w:color w:val="FFFFFF"/>
              </w:rPr>
              <w:t>Respondent Response</w:t>
            </w:r>
          </w:p>
        </w:tc>
      </w:tr>
      <w:tr w:rsidR="00991D13" w14:paraId="7F147C39" w14:textId="77777777" w:rsidTr="007A65A5">
        <w:trPr>
          <w:trHeight w:val="1529"/>
        </w:trPr>
        <w:tc>
          <w:tcPr>
            <w:tcW w:w="1665" w:type="dxa"/>
            <w:vAlign w:val="center"/>
          </w:tcPr>
          <w:p w14:paraId="6EDD9F1B" w14:textId="77C2DFF8" w:rsidR="00991D13" w:rsidRPr="00D66395" w:rsidRDefault="00801B11" w:rsidP="007A65A5">
            <w:pPr>
              <w:spacing w:line="259" w:lineRule="auto"/>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Attachment C – Question 2</w:t>
            </w:r>
          </w:p>
        </w:tc>
        <w:tc>
          <w:tcPr>
            <w:tcW w:w="5580" w:type="dxa"/>
            <w:vAlign w:val="center"/>
          </w:tcPr>
          <w:p w14:paraId="472DCF9C" w14:textId="7CC775B6" w:rsidR="00991D13" w:rsidRPr="00D66395" w:rsidRDefault="00B63057" w:rsidP="007A65A5">
            <w:pPr>
              <w:spacing w:line="259" w:lineRule="auto"/>
              <w:rPr>
                <w:rFonts w:asciiTheme="minorHAnsi" w:eastAsia="Times New Roman" w:hAnsiTheme="minorHAnsi" w:cstheme="minorHAnsi"/>
                <w:sz w:val="22"/>
                <w:szCs w:val="22"/>
              </w:rPr>
            </w:pPr>
            <w:r>
              <w:t>As a follow-up to Technical Proposal Question 2, can you please answer the following question</w:t>
            </w:r>
            <w:r w:rsidR="00A77C7D">
              <w:t xml:space="preserve">: Does Milliman have </w:t>
            </w:r>
            <w:r w:rsidR="003C6781">
              <w:t xml:space="preserve">ongoing engagements with any Indiana </w:t>
            </w:r>
            <w:r w:rsidR="00250D3C">
              <w:t>nonprofit hospital systems (as defined in Ind. Code 27-1-47.5-3)? If so, please describe the engagement(s) and identify the Indiana nonprofit hospital system(s).</w:t>
            </w:r>
          </w:p>
        </w:tc>
        <w:tc>
          <w:tcPr>
            <w:tcW w:w="7095" w:type="dxa"/>
            <w:shd w:val="clear" w:color="auto" w:fill="C9DAF8"/>
            <w:vAlign w:val="center"/>
          </w:tcPr>
          <w:p w14:paraId="438276CD" w14:textId="1EB7ADF4" w:rsidR="00991D13" w:rsidRDefault="000E42CD" w:rsidP="007A65A5">
            <w:pPr>
              <w:pBdr>
                <w:top w:val="nil"/>
                <w:left w:val="nil"/>
                <w:bottom w:val="nil"/>
                <w:right w:val="nil"/>
                <w:between w:val="nil"/>
              </w:pBdr>
              <w:spacing w:line="259" w:lineRule="auto"/>
              <w:rPr>
                <w:rFonts w:ascii="Times New Roman" w:eastAsia="Times New Roman" w:hAnsi="Times New Roman" w:cs="Times New Roman"/>
                <w:color w:val="000000"/>
              </w:rPr>
            </w:pPr>
            <w:r w:rsidRPr="000E42CD">
              <w:rPr>
                <w:rFonts w:ascii="Times New Roman" w:eastAsia="Times New Roman" w:hAnsi="Times New Roman" w:cs="Times New Roman"/>
                <w:color w:val="000000"/>
              </w:rPr>
              <w:t xml:space="preserve">Milliman does provide consulting services for some </w:t>
            </w:r>
            <w:r w:rsidR="00E35806">
              <w:rPr>
                <w:rFonts w:ascii="Times New Roman" w:eastAsia="Times New Roman" w:hAnsi="Times New Roman" w:cs="Times New Roman"/>
                <w:color w:val="000000"/>
              </w:rPr>
              <w:t xml:space="preserve">Indiana </w:t>
            </w:r>
            <w:r w:rsidRPr="000E42CD">
              <w:rPr>
                <w:rFonts w:ascii="Times New Roman" w:eastAsia="Times New Roman" w:hAnsi="Times New Roman" w:cs="Times New Roman"/>
                <w:color w:val="000000"/>
              </w:rPr>
              <w:t xml:space="preserve">non-profit hospital systems. Our consulting service agreements preclude us from communicating </w:t>
            </w:r>
            <w:r w:rsidR="00E35806">
              <w:rPr>
                <w:rFonts w:ascii="Times New Roman" w:eastAsia="Times New Roman" w:hAnsi="Times New Roman" w:cs="Times New Roman"/>
                <w:color w:val="000000"/>
              </w:rPr>
              <w:t xml:space="preserve">specific </w:t>
            </w:r>
            <w:r w:rsidRPr="000E42CD">
              <w:rPr>
                <w:rFonts w:ascii="Times New Roman" w:eastAsia="Times New Roman" w:hAnsi="Times New Roman" w:cs="Times New Roman"/>
                <w:color w:val="000000"/>
              </w:rPr>
              <w:t xml:space="preserve">details about the nature of those services. The services we perform vary by organization and are generally actuarial in nature. The Milliman consultants who would be working on this engagement with the state would not </w:t>
            </w:r>
            <w:r w:rsidR="003324DA">
              <w:rPr>
                <w:rFonts w:ascii="Times New Roman" w:eastAsia="Times New Roman" w:hAnsi="Times New Roman" w:cs="Times New Roman"/>
                <w:color w:val="000000"/>
              </w:rPr>
              <w:t>provide</w:t>
            </w:r>
            <w:r w:rsidRPr="000E42CD">
              <w:rPr>
                <w:rFonts w:ascii="Times New Roman" w:eastAsia="Times New Roman" w:hAnsi="Times New Roman" w:cs="Times New Roman"/>
                <w:color w:val="000000"/>
              </w:rPr>
              <w:t xml:space="preserve"> services to Indiana non-profit </w:t>
            </w:r>
            <w:r w:rsidR="00E35806">
              <w:rPr>
                <w:rFonts w:ascii="Times New Roman" w:eastAsia="Times New Roman" w:hAnsi="Times New Roman" w:cs="Times New Roman"/>
                <w:color w:val="000000"/>
              </w:rPr>
              <w:t xml:space="preserve">hospital </w:t>
            </w:r>
            <w:r w:rsidRPr="000E42CD">
              <w:rPr>
                <w:rFonts w:ascii="Times New Roman" w:eastAsia="Times New Roman" w:hAnsi="Times New Roman" w:cs="Times New Roman"/>
                <w:color w:val="000000"/>
              </w:rPr>
              <w:t>systems during this engagement. Please see our response to question #2 “Conflict of Interest” in “Attachment C – Response Template” for further information on Milliman’s conflict mitigation process.</w:t>
            </w:r>
          </w:p>
        </w:tc>
      </w:tr>
    </w:tbl>
    <w:p w14:paraId="3FB0E06C" w14:textId="77777777" w:rsidR="00991D13" w:rsidRDefault="00991D13">
      <w:pPr>
        <w:pBdr>
          <w:top w:val="nil"/>
          <w:left w:val="nil"/>
          <w:bottom w:val="nil"/>
          <w:right w:val="nil"/>
          <w:between w:val="nil"/>
        </w:pBdr>
        <w:rPr>
          <w:rFonts w:ascii="Times New Roman" w:eastAsia="Times New Roman" w:hAnsi="Times New Roman" w:cs="Times New Roman"/>
          <w:b/>
          <w:smallCaps/>
          <w:color w:val="000000"/>
        </w:rPr>
      </w:pPr>
    </w:p>
    <w:sectPr w:rsidR="00991D13">
      <w:headerReference w:type="default" r:id="rId11"/>
      <w:footerReference w:type="default" r:id="rId12"/>
      <w:pgSz w:w="15840" w:h="1224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69AAB" w14:textId="77777777" w:rsidR="0036069D" w:rsidRDefault="0036069D">
      <w:pPr>
        <w:spacing w:line="240" w:lineRule="auto"/>
      </w:pPr>
      <w:r>
        <w:separator/>
      </w:r>
    </w:p>
  </w:endnote>
  <w:endnote w:type="continuationSeparator" w:id="0">
    <w:p w14:paraId="1C1F082F" w14:textId="77777777" w:rsidR="0036069D" w:rsidRDefault="003606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67BA4" w14:textId="77777777" w:rsidR="004025FB" w:rsidRDefault="004025FB">
    <w:pPr>
      <w:pBdr>
        <w:top w:val="nil"/>
        <w:left w:val="nil"/>
        <w:bottom w:val="nil"/>
        <w:right w:val="nil"/>
        <w:between w:val="nil"/>
      </w:pBdr>
      <w:tabs>
        <w:tab w:val="center" w:pos="4680"/>
        <w:tab w:val="right" w:pos="9360"/>
      </w:tabs>
      <w:spacing w:line="240" w:lineRule="auto"/>
      <w:jc w:val="right"/>
      <w:rPr>
        <w:rFonts w:ascii="Times New Roman" w:eastAsia="Times New Roman" w:hAnsi="Times New Roman" w:cs="Times New Roman"/>
        <w:color w:val="000000"/>
        <w:sz w:val="12"/>
        <w:szCs w:val="12"/>
      </w:rPr>
    </w:pPr>
  </w:p>
  <w:p w14:paraId="0F9209EA" w14:textId="77777777" w:rsidR="004025FB" w:rsidRDefault="005B53A6">
    <w:pPr>
      <w:pBdr>
        <w:top w:val="nil"/>
        <w:left w:val="nil"/>
        <w:bottom w:val="nil"/>
        <w:right w:val="nil"/>
        <w:between w:val="nil"/>
      </w:pBdr>
      <w:tabs>
        <w:tab w:val="center" w:pos="4680"/>
        <w:tab w:val="right" w:pos="9360"/>
        <w:tab w:val="left" w:pos="13395"/>
        <w:tab w:val="right" w:pos="14400"/>
      </w:tabs>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 xml:space="preserve">Page </w:t>
    </w:r>
    <w:r>
      <w:rPr>
        <w:rFonts w:ascii="Times New Roman" w:eastAsia="Times New Roman" w:hAnsi="Times New Roman" w:cs="Times New Roman"/>
        <w:b/>
        <w:color w:val="000000"/>
        <w:sz w:val="20"/>
        <w:szCs w:val="20"/>
      </w:rPr>
      <w:fldChar w:fldCharType="begin"/>
    </w:r>
    <w:r>
      <w:rPr>
        <w:rFonts w:ascii="Times New Roman" w:eastAsia="Times New Roman" w:hAnsi="Times New Roman" w:cs="Times New Roman"/>
        <w:b/>
        <w:color w:val="000000"/>
        <w:sz w:val="20"/>
        <w:szCs w:val="20"/>
      </w:rPr>
      <w:instrText>PAGE</w:instrText>
    </w:r>
    <w:r>
      <w:rPr>
        <w:rFonts w:ascii="Times New Roman" w:eastAsia="Times New Roman" w:hAnsi="Times New Roman" w:cs="Times New Roman"/>
        <w:b/>
        <w:color w:val="000000"/>
        <w:sz w:val="20"/>
        <w:szCs w:val="20"/>
      </w:rPr>
      <w:fldChar w:fldCharType="separate"/>
    </w:r>
    <w:r w:rsidR="00D66395">
      <w:rPr>
        <w:rFonts w:ascii="Times New Roman" w:eastAsia="Times New Roman" w:hAnsi="Times New Roman" w:cs="Times New Roman"/>
        <w:b/>
        <w:noProof/>
        <w:color w:val="000000"/>
        <w:sz w:val="20"/>
        <w:szCs w:val="20"/>
      </w:rPr>
      <w:t>1</w:t>
    </w:r>
    <w:r>
      <w:rPr>
        <w:rFonts w:ascii="Times New Roman" w:eastAsia="Times New Roman" w:hAnsi="Times New Roman" w:cs="Times New Roman"/>
        <w:b/>
        <w:color w:val="000000"/>
        <w:sz w:val="20"/>
        <w:szCs w:val="20"/>
      </w:rPr>
      <w:fldChar w:fldCharType="end"/>
    </w:r>
    <w:r>
      <w:rPr>
        <w:rFonts w:ascii="Times New Roman" w:eastAsia="Times New Roman" w:hAnsi="Times New Roman" w:cs="Times New Roman"/>
        <w:color w:val="000000"/>
        <w:sz w:val="20"/>
        <w:szCs w:val="20"/>
      </w:rPr>
      <w:t xml:space="preserve"> of </w:t>
    </w:r>
    <w:r>
      <w:rPr>
        <w:rFonts w:ascii="Times New Roman" w:eastAsia="Times New Roman" w:hAnsi="Times New Roman" w:cs="Times New Roman"/>
        <w:b/>
        <w:color w:val="000000"/>
        <w:sz w:val="20"/>
        <w:szCs w:val="20"/>
      </w:rPr>
      <w:fldChar w:fldCharType="begin"/>
    </w:r>
    <w:r>
      <w:rPr>
        <w:rFonts w:ascii="Times New Roman" w:eastAsia="Times New Roman" w:hAnsi="Times New Roman" w:cs="Times New Roman"/>
        <w:b/>
        <w:color w:val="000000"/>
        <w:sz w:val="20"/>
        <w:szCs w:val="20"/>
      </w:rPr>
      <w:instrText>NUMPAGES</w:instrText>
    </w:r>
    <w:r>
      <w:rPr>
        <w:rFonts w:ascii="Times New Roman" w:eastAsia="Times New Roman" w:hAnsi="Times New Roman" w:cs="Times New Roman"/>
        <w:b/>
        <w:color w:val="000000"/>
        <w:sz w:val="20"/>
        <w:szCs w:val="20"/>
      </w:rPr>
      <w:fldChar w:fldCharType="separate"/>
    </w:r>
    <w:r w:rsidR="00D66395">
      <w:rPr>
        <w:rFonts w:ascii="Times New Roman" w:eastAsia="Times New Roman" w:hAnsi="Times New Roman" w:cs="Times New Roman"/>
        <w:b/>
        <w:noProof/>
        <w:color w:val="000000"/>
        <w:sz w:val="20"/>
        <w:szCs w:val="20"/>
      </w:rPr>
      <w:t>2</w:t>
    </w:r>
    <w:r>
      <w:rPr>
        <w:rFonts w:ascii="Times New Roman" w:eastAsia="Times New Roman" w:hAnsi="Times New Roman" w:cs="Times New Roman"/>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E6BA0" w14:textId="77777777" w:rsidR="0036069D" w:rsidRDefault="0036069D">
      <w:pPr>
        <w:spacing w:line="240" w:lineRule="auto"/>
      </w:pPr>
      <w:r>
        <w:separator/>
      </w:r>
    </w:p>
  </w:footnote>
  <w:footnote w:type="continuationSeparator" w:id="0">
    <w:p w14:paraId="4F28289F" w14:textId="77777777" w:rsidR="0036069D" w:rsidRDefault="0036069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089AD" w14:textId="31CC8547" w:rsidR="00D66395" w:rsidRPr="00D66395" w:rsidRDefault="00D66395" w:rsidP="00D66395">
    <w:pPr>
      <w:pBdr>
        <w:top w:val="nil"/>
        <w:left w:val="nil"/>
        <w:bottom w:val="nil"/>
        <w:right w:val="nil"/>
        <w:between w:val="nil"/>
      </w:pBdr>
      <w:tabs>
        <w:tab w:val="center" w:pos="4680"/>
        <w:tab w:val="right" w:pos="9360"/>
      </w:tabs>
      <w:spacing w:line="240" w:lineRule="auto"/>
      <w:jc w:val="center"/>
      <w:rPr>
        <w:b/>
        <w:color w:val="000000"/>
        <w:u w:val="single"/>
      </w:rPr>
    </w:pPr>
    <w:r w:rsidRPr="00D66395">
      <w:rPr>
        <w:b/>
        <w:color w:val="000000"/>
        <w:u w:val="single"/>
      </w:rPr>
      <w:t>RF</w:t>
    </w:r>
    <w:r w:rsidR="00CB29C2">
      <w:rPr>
        <w:b/>
        <w:color w:val="000000"/>
        <w:u w:val="single"/>
      </w:rPr>
      <w:t>S</w:t>
    </w:r>
    <w:r w:rsidRPr="00D66395">
      <w:rPr>
        <w:b/>
        <w:color w:val="000000"/>
        <w:u w:val="single"/>
      </w:rPr>
      <w:t xml:space="preserve"> 2</w:t>
    </w:r>
    <w:r w:rsidR="00CB29C2">
      <w:rPr>
        <w:b/>
        <w:color w:val="000000"/>
        <w:u w:val="single"/>
      </w:rPr>
      <w:t>4</w:t>
    </w:r>
    <w:r w:rsidRPr="00D66395">
      <w:rPr>
        <w:b/>
        <w:color w:val="000000"/>
        <w:u w:val="single"/>
      </w:rPr>
      <w:t>-</w:t>
    </w:r>
    <w:r w:rsidR="00CB29C2">
      <w:rPr>
        <w:b/>
        <w:color w:val="000000"/>
        <w:u w:val="single"/>
      </w:rPr>
      <w:t>76533</w:t>
    </w:r>
    <w:r w:rsidRPr="00D66395">
      <w:rPr>
        <w:b/>
        <w:color w:val="000000"/>
        <w:u w:val="single"/>
      </w:rPr>
      <w:t xml:space="preserve"> </w:t>
    </w:r>
    <w:r w:rsidRPr="00D66395">
      <w:rPr>
        <w:b/>
        <w:u w:val="single"/>
      </w:rPr>
      <w:t>Clarifications</w:t>
    </w:r>
  </w:p>
  <w:p w14:paraId="00DEF93B" w14:textId="77777777" w:rsidR="00D66395" w:rsidRDefault="00D66395" w:rsidP="00D66395">
    <w:pPr>
      <w:pBdr>
        <w:top w:val="nil"/>
        <w:left w:val="nil"/>
        <w:bottom w:val="nil"/>
        <w:right w:val="nil"/>
        <w:between w:val="nil"/>
      </w:pBdr>
      <w:tabs>
        <w:tab w:val="center" w:pos="4680"/>
        <w:tab w:val="right" w:pos="9360"/>
      </w:tabs>
      <w:spacing w:line="240" w:lineRule="auto"/>
      <w:rPr>
        <w:b/>
        <w:color w:val="000000"/>
        <w:sz w:val="12"/>
        <w:szCs w:val="1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9D141E"/>
    <w:multiLevelType w:val="hybridMultilevel"/>
    <w:tmpl w:val="08785B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731713D4"/>
    <w:multiLevelType w:val="hybridMultilevel"/>
    <w:tmpl w:val="BD12D8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716125979">
    <w:abstractNumId w:val="1"/>
  </w:num>
  <w:num w:numId="2" w16cid:durableId="2000303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5FB"/>
    <w:rsid w:val="00060854"/>
    <w:rsid w:val="000A7B07"/>
    <w:rsid w:val="000E42CD"/>
    <w:rsid w:val="00154BFD"/>
    <w:rsid w:val="001F1018"/>
    <w:rsid w:val="002146EC"/>
    <w:rsid w:val="00250D3C"/>
    <w:rsid w:val="003324DA"/>
    <w:rsid w:val="0036069D"/>
    <w:rsid w:val="003C6781"/>
    <w:rsid w:val="004025FB"/>
    <w:rsid w:val="0043756A"/>
    <w:rsid w:val="005B53A6"/>
    <w:rsid w:val="0067713F"/>
    <w:rsid w:val="0070242E"/>
    <w:rsid w:val="007454D3"/>
    <w:rsid w:val="00801B11"/>
    <w:rsid w:val="00802777"/>
    <w:rsid w:val="0085655D"/>
    <w:rsid w:val="008A691E"/>
    <w:rsid w:val="008B16E9"/>
    <w:rsid w:val="00991D13"/>
    <w:rsid w:val="00993AA1"/>
    <w:rsid w:val="00A77C7D"/>
    <w:rsid w:val="00B63057"/>
    <w:rsid w:val="00C10D3C"/>
    <w:rsid w:val="00C3571D"/>
    <w:rsid w:val="00CB29C2"/>
    <w:rsid w:val="00CC23CF"/>
    <w:rsid w:val="00CC7D98"/>
    <w:rsid w:val="00CF789A"/>
    <w:rsid w:val="00D66395"/>
    <w:rsid w:val="00E35806"/>
    <w:rsid w:val="00E44FF8"/>
    <w:rsid w:val="00EC5C6D"/>
    <w:rsid w:val="00EE028B"/>
    <w:rsid w:val="00F815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282A8"/>
  <w15:docId w15:val="{64DCC619-E439-4D19-99D8-00A986B20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0">
    <w:name w:val="Normal0"/>
    <w:qFormat/>
    <w:rsid w:val="00961B6D"/>
  </w:style>
  <w:style w:type="table" w:customStyle="1" w:styleId="NormalTable0">
    <w:name w:val="Normal Table0"/>
    <w:uiPriority w:val="99"/>
    <w:semiHidden/>
    <w:unhideWhenUsed/>
    <w:tblPr>
      <w:tblInd w:w="0" w:type="dxa"/>
      <w:tblCellMar>
        <w:top w:w="0" w:type="dxa"/>
        <w:left w:w="108" w:type="dxa"/>
        <w:bottom w:w="0" w:type="dxa"/>
        <w:right w:w="108" w:type="dxa"/>
      </w:tblCellMar>
    </w:tblPr>
  </w:style>
  <w:style w:type="paragraph" w:styleId="Header">
    <w:name w:val="header"/>
    <w:basedOn w:val="Normal0"/>
    <w:link w:val="HeaderChar"/>
    <w:uiPriority w:val="99"/>
    <w:unhideWhenUsed/>
    <w:rsid w:val="00132878"/>
    <w:pPr>
      <w:tabs>
        <w:tab w:val="center" w:pos="4680"/>
        <w:tab w:val="right" w:pos="9360"/>
      </w:tabs>
      <w:spacing w:line="240" w:lineRule="auto"/>
    </w:pPr>
  </w:style>
  <w:style w:type="character" w:customStyle="1" w:styleId="HeaderChar">
    <w:name w:val="Header Char"/>
    <w:basedOn w:val="DefaultParagraphFont"/>
    <w:link w:val="Header"/>
    <w:uiPriority w:val="99"/>
    <w:rsid w:val="00132878"/>
  </w:style>
  <w:style w:type="paragraph" w:styleId="Footer">
    <w:name w:val="footer"/>
    <w:basedOn w:val="Normal0"/>
    <w:link w:val="FooterChar"/>
    <w:uiPriority w:val="99"/>
    <w:unhideWhenUsed/>
    <w:rsid w:val="00132878"/>
    <w:pPr>
      <w:tabs>
        <w:tab w:val="center" w:pos="4680"/>
        <w:tab w:val="right" w:pos="9360"/>
      </w:tabs>
      <w:spacing w:line="240" w:lineRule="auto"/>
    </w:pPr>
  </w:style>
  <w:style w:type="character" w:customStyle="1" w:styleId="FooterChar">
    <w:name w:val="Footer Char"/>
    <w:basedOn w:val="DefaultParagraphFont"/>
    <w:link w:val="Footer"/>
    <w:uiPriority w:val="99"/>
    <w:rsid w:val="00132878"/>
  </w:style>
  <w:style w:type="table" w:styleId="TableGrid">
    <w:name w:val="Table Grid"/>
    <w:basedOn w:val="NormalTable0"/>
    <w:uiPriority w:val="59"/>
    <w:rsid w:val="002A0BA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0"/>
    <w:link w:val="BalloonTextChar"/>
    <w:uiPriority w:val="99"/>
    <w:semiHidden/>
    <w:unhideWhenUsed/>
    <w:rsid w:val="005C7B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BC1"/>
    <w:rPr>
      <w:rFonts w:ascii="Segoe UI" w:hAnsi="Segoe UI" w:cs="Segoe UI"/>
      <w:sz w:val="18"/>
      <w:szCs w:val="18"/>
    </w:rPr>
  </w:style>
  <w:style w:type="paragraph" w:styleId="ListParagraph">
    <w:name w:val="List Paragraph"/>
    <w:aliases w:val="List1,FDS Numbered List,Recommendation,dot point List Paragraph,List11,Lista,List111,lp1,List Paragraph1,Figure_name,Bullet- First level,eSolutions Response Blue"/>
    <w:basedOn w:val="Normal0"/>
    <w:link w:val="ListParagraphChar"/>
    <w:uiPriority w:val="34"/>
    <w:qFormat/>
    <w:rsid w:val="00C43DF7"/>
    <w:pPr>
      <w:ind w:left="720"/>
      <w:contextualSpacing/>
    </w:pPr>
  </w:style>
  <w:style w:type="character" w:styleId="CommentReference">
    <w:name w:val="annotation reference"/>
    <w:basedOn w:val="DefaultParagraphFont"/>
    <w:uiPriority w:val="99"/>
    <w:semiHidden/>
    <w:unhideWhenUsed/>
    <w:rsid w:val="00D574AE"/>
    <w:rPr>
      <w:sz w:val="16"/>
      <w:szCs w:val="16"/>
    </w:rPr>
  </w:style>
  <w:style w:type="paragraph" w:styleId="CommentText">
    <w:name w:val="annotation text"/>
    <w:basedOn w:val="Normal0"/>
    <w:link w:val="CommentTextChar"/>
    <w:uiPriority w:val="99"/>
    <w:semiHidden/>
    <w:unhideWhenUsed/>
    <w:rsid w:val="00D574AE"/>
    <w:pPr>
      <w:spacing w:line="240" w:lineRule="auto"/>
    </w:pPr>
    <w:rPr>
      <w:sz w:val="20"/>
    </w:rPr>
  </w:style>
  <w:style w:type="character" w:customStyle="1" w:styleId="CommentTextChar">
    <w:name w:val="Comment Text Char"/>
    <w:basedOn w:val="DefaultParagraphFont"/>
    <w:link w:val="CommentText"/>
    <w:uiPriority w:val="99"/>
    <w:semiHidden/>
    <w:rsid w:val="00D574AE"/>
    <w:rPr>
      <w:sz w:val="20"/>
    </w:rPr>
  </w:style>
  <w:style w:type="paragraph" w:styleId="CommentSubject">
    <w:name w:val="annotation subject"/>
    <w:basedOn w:val="CommentText"/>
    <w:next w:val="CommentText"/>
    <w:link w:val="CommentSubjectChar"/>
    <w:uiPriority w:val="99"/>
    <w:semiHidden/>
    <w:unhideWhenUsed/>
    <w:rsid w:val="00D574AE"/>
    <w:rPr>
      <w:b/>
      <w:bCs/>
    </w:rPr>
  </w:style>
  <w:style w:type="character" w:customStyle="1" w:styleId="CommentSubjectChar">
    <w:name w:val="Comment Subject Char"/>
    <w:basedOn w:val="CommentTextChar"/>
    <w:link w:val="CommentSubject"/>
    <w:uiPriority w:val="99"/>
    <w:semiHidden/>
    <w:rsid w:val="00D574AE"/>
    <w:rPr>
      <w:b/>
      <w:bCs/>
      <w:sz w:val="20"/>
    </w:rPr>
  </w:style>
  <w:style w:type="paragraph" w:customStyle="1" w:styleId="xmsonormal">
    <w:name w:val="x_msonormal"/>
    <w:basedOn w:val="Normal0"/>
    <w:rsid w:val="00101785"/>
    <w:pPr>
      <w:spacing w:line="240" w:lineRule="auto"/>
    </w:pPr>
    <w:rPr>
      <w:sz w:val="22"/>
      <w:szCs w:val="22"/>
    </w:rPr>
  </w:style>
  <w:style w:type="paragraph" w:styleId="Revision">
    <w:name w:val="Revision"/>
    <w:hidden/>
    <w:uiPriority w:val="99"/>
    <w:semiHidden/>
    <w:rsid w:val="00F87828"/>
    <w:pPr>
      <w:spacing w:line="240" w:lineRule="auto"/>
    </w:pPr>
  </w:style>
  <w:style w:type="character" w:customStyle="1" w:styleId="ListParagraphChar">
    <w:name w:val="List Paragraph Char"/>
    <w:aliases w:val="List1 Char,FDS Numbered List Char,Recommendation Char,dot point List Paragraph Char,List11 Char,Lista Char,List111 Char,lp1 Char,List Paragraph1 Char,Figure_name Char,Bullet- First level Char,eSolutions Response Blue Char"/>
    <w:basedOn w:val="DefaultParagraphFont"/>
    <w:link w:val="ListParagraph"/>
    <w:uiPriority w:val="34"/>
    <w:rsid w:val="007B699D"/>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NormalTable0"/>
    <w:pPr>
      <w:spacing w:line="240" w:lineRule="auto"/>
    </w:pPr>
    <w:tblPr>
      <w:tblStyleRowBandSize w:val="1"/>
      <w:tblStyleColBandSize w:val="1"/>
    </w:tblPr>
  </w:style>
  <w:style w:type="paragraph" w:customStyle="1" w:styleId="pf0">
    <w:name w:val="pf0"/>
    <w:basedOn w:val="Normal"/>
    <w:rsid w:val="00106C73"/>
    <w:pPr>
      <w:spacing w:before="100" w:beforeAutospacing="1" w:after="100" w:afterAutospacing="1" w:line="240" w:lineRule="auto"/>
    </w:pPr>
    <w:rPr>
      <w:rFonts w:ascii="Times New Roman" w:eastAsia="Times New Roman" w:hAnsi="Times New Roman" w:cs="Times New Roman"/>
    </w:rPr>
  </w:style>
  <w:style w:type="character" w:customStyle="1" w:styleId="cf01">
    <w:name w:val="cf01"/>
    <w:basedOn w:val="DefaultParagraphFont"/>
    <w:rsid w:val="00106C73"/>
    <w:rPr>
      <w:rFonts w:ascii="Segoe UI" w:hAnsi="Segoe UI" w:cs="Segoe UI" w:hint="default"/>
      <w:sz w:val="18"/>
      <w:szCs w:val="18"/>
    </w:rPr>
  </w:style>
  <w:style w:type="table" w:customStyle="1" w:styleId="a0">
    <w:basedOn w:val="TableNormal"/>
    <w:pPr>
      <w:spacing w:line="240" w:lineRule="auto"/>
    </w:pPr>
    <w:tblPr>
      <w:tblStyleRowBandSize w:val="1"/>
      <w:tblStyleColBandSize w:val="1"/>
    </w:tblPr>
  </w:style>
  <w:style w:type="table" w:customStyle="1" w:styleId="a1">
    <w:basedOn w:val="TableNormal"/>
    <w:pPr>
      <w:spacing w:line="240" w:lineRule="auto"/>
    </w:pPr>
    <w:tblPr>
      <w:tblStyleRowBandSize w:val="1"/>
      <w:tblStyleColBandSize w:val="1"/>
    </w:tblPr>
  </w:style>
  <w:style w:type="table" w:customStyle="1" w:styleId="a2">
    <w:basedOn w:val="TableNormal"/>
    <w:pPr>
      <w:spacing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833248">
      <w:bodyDiv w:val="1"/>
      <w:marLeft w:val="0"/>
      <w:marRight w:val="0"/>
      <w:marTop w:val="0"/>
      <w:marBottom w:val="0"/>
      <w:divBdr>
        <w:top w:val="none" w:sz="0" w:space="0" w:color="auto"/>
        <w:left w:val="none" w:sz="0" w:space="0" w:color="auto"/>
        <w:bottom w:val="none" w:sz="0" w:space="0" w:color="auto"/>
        <w:right w:val="none" w:sz="0" w:space="0" w:color="auto"/>
      </w:divBdr>
    </w:div>
    <w:div w:id="511534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AFF4857513A34FA383C01A713AA910" ma:contentTypeVersion="3" ma:contentTypeDescription="Create a new document." ma:contentTypeScope="" ma:versionID="d2fa4610bce18e47907c6adf4955c5c2">
  <xsd:schema xmlns:xsd="http://www.w3.org/2001/XMLSchema" xmlns:xs="http://www.w3.org/2001/XMLSchema" xmlns:p="http://schemas.microsoft.com/office/2006/metadata/properties" xmlns:ns2="02776080-a219-46ca-a258-4a3b43bd18f6" targetNamespace="http://schemas.microsoft.com/office/2006/metadata/properties" ma:root="true" ma:fieldsID="fb6323ed5ee8d422ced9b7e9db85fab0" ns2:_="">
    <xsd:import namespace="02776080-a219-46ca-a258-4a3b43bd18f6"/>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776080-a219-46ca-a258-4a3b43bd18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Xavsv1fBE4cvlcODY1tAYTjChw==">CgMxLjAyCGguZ2pkZ3hzOAByITFEZWxZUGFkM1d2c25rSThaT2JvbklrTFY2Y1RSODJUQg==</go:docsCustomData>
</go:gDocsCustomXmlDataStorage>
</file>

<file path=customXml/itemProps1.xml><?xml version="1.0" encoding="utf-8"?>
<ds:datastoreItem xmlns:ds="http://schemas.openxmlformats.org/officeDocument/2006/customXml" ds:itemID="{AA8DFC9E-E812-4A9F-A2EE-629FF045E47D}">
  <ds:schemaRefs>
    <ds:schemaRef ds:uri="http://schemas.microsoft.com/sharepoint/v3/contenttype/forms"/>
  </ds:schemaRefs>
</ds:datastoreItem>
</file>

<file path=customXml/itemProps2.xml><?xml version="1.0" encoding="utf-8"?>
<ds:datastoreItem xmlns:ds="http://schemas.openxmlformats.org/officeDocument/2006/customXml" ds:itemID="{19D28CFF-5144-4AEF-9CAB-9561EEA1F7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5AA5344-48B5-4F47-AB1F-46B4EA2E8C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776080-a219-46ca-a258-4a3b43bd18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489</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Stinnett</dc:creator>
  <cp:lastModifiedBy>Luke Roth</cp:lastModifiedBy>
  <cp:revision>5</cp:revision>
  <dcterms:created xsi:type="dcterms:W3CDTF">2023-09-26T21:20:00Z</dcterms:created>
  <dcterms:modified xsi:type="dcterms:W3CDTF">2023-09-27T15:02:00Z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0x010100BFAFF4857513A34FA383C01A713AA910</vt:lpwstr>
  </property>
  <property fmtid="{D5CDD505-2E9C-101B-9397-08002B2CF9AE}" pid="3" name="Order">
    <vt:r8>6100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